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b w:val="1"/>
          <w:bCs w:val="1"/>
          <w:u w:val="single"/>
        </w:rPr>
      </w:pPr>
      <w:r>
        <w:rPr>
          <w:b w:val="1"/>
          <w:bCs w:val="1"/>
          <w:u w:val="single"/>
          <w:rtl w:val="0"/>
          <w:lang w:val="pt-PT"/>
        </w:rPr>
        <w:t>TO BE RETAINED BY PARENT</w:t>
      </w:r>
    </w:p>
    <w:p>
      <w:pPr>
        <w:pStyle w:val="Body"/>
      </w:pPr>
    </w:p>
    <w:p>
      <w:pPr>
        <w:pStyle w:val="Body"/>
        <w:rPr>
          <w:rFonts w:ascii="Verdana" w:cs="Verdana" w:hAnsi="Verdana" w:eastAsia="Verdana"/>
          <w:b w:val="1"/>
          <w:bCs w:val="1"/>
          <w:outline w:val="0"/>
          <w:color w:val="666699"/>
          <w:sz w:val="52"/>
          <w:szCs w:val="52"/>
          <w:u w:color="666699"/>
          <w14:textFill>
            <w14:solidFill>
              <w14:srgbClr w14:val="666699"/>
            </w14:solidFill>
          </w14:textFill>
        </w:rPr>
      </w:pPr>
      <w:r>
        <w:rPr>
          <w:rFonts w:ascii="Verdana" w:hAnsi="Verdana"/>
          <w:b w:val="1"/>
          <w:bCs w:val="1"/>
          <w:outline w:val="0"/>
          <w:color w:val="666699"/>
          <w:sz w:val="52"/>
          <w:szCs w:val="52"/>
          <w:u w:color="666699"/>
          <w:rtl w:val="0"/>
          <w:lang w:val="es-ES_tradnl"/>
          <w14:textFill>
            <w14:solidFill>
              <w14:srgbClr w14:val="666699"/>
            </w14:solidFill>
          </w14:textFill>
        </w:rPr>
        <w:t>COMMUNICABLE DISEASES</w:t>
      </w:r>
    </w:p>
    <w:p>
      <w:pPr>
        <w:pStyle w:val="Body"/>
        <w:jc w:val="both"/>
        <w:rPr>
          <w:b w:val="1"/>
          <w:bCs w:val="1"/>
          <w:u w:val="single"/>
        </w:rPr>
      </w:pPr>
    </w:p>
    <w:p>
      <w:pPr>
        <w:pStyle w:val="Body"/>
        <w:jc w:val="both"/>
        <w:rPr>
          <w:b w:val="1"/>
          <w:bCs w:val="1"/>
        </w:rPr>
      </w:pPr>
      <w:r>
        <w:rPr>
          <w:b w:val="1"/>
          <w:bCs w:val="1"/>
          <w:rtl w:val="0"/>
          <w:lang w:val="en-US"/>
        </w:rPr>
        <w:t>Your child should not attend nursery if they are suffering from any of the following illnesses that have an exclusion period.  If your child is prescribed any form of antibiotic treatment they will need to have the amount of doses stated below and have suffered no negative reaction, if they require a new form of treatment the exclusion period will begin once the required doses of the new treatment is given.</w:t>
      </w:r>
    </w:p>
    <w:p>
      <w:pPr>
        <w:pStyle w:val="Body"/>
        <w:jc w:val="both"/>
        <w:rPr>
          <w:b w:val="1"/>
          <w:bCs w:val="1"/>
        </w:rPr>
      </w:pPr>
      <w:r>
        <w:rPr>
          <w:b w:val="1"/>
          <w:bCs w:val="1"/>
          <w:rtl w:val="0"/>
          <w:lang w:val="en-US"/>
        </w:rPr>
        <w:t>The Nursery reserves the right with any illness to exclude the child if they feel the child is not well enough to attend even if their illness is not stated on this form. An example of this would be a child not eating or drinking, unexplained lethargy or showing signs of distress.</w:t>
      </w:r>
    </w:p>
    <w:p>
      <w:pPr>
        <w:pStyle w:val="Body"/>
        <w:rPr>
          <w:b w:val="1"/>
          <w:bCs w:val="1"/>
          <w:outline w:val="0"/>
          <w:color w:val="cc0099"/>
          <w:u w:color="cc0099"/>
          <w14:textFill>
            <w14:solidFill>
              <w14:srgbClr w14:val="CC0099"/>
            </w14:solidFill>
          </w14:textFill>
        </w:rPr>
      </w:pPr>
    </w:p>
    <w:tbl>
      <w:tblPr>
        <w:tblW w:w="972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3960"/>
        <w:gridCol w:w="5760"/>
      </w:tblGrid>
      <w:tr>
        <w:tblPrEx>
          <w:shd w:val="clear" w:color="auto" w:fill="cdd4e9"/>
        </w:tblPrEx>
        <w:trPr>
          <w:trHeight w:val="300" w:hRule="atLeast"/>
        </w:trPr>
        <w:tc>
          <w:tcPr>
            <w:tcW w:type="dxa" w:w="3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line="360" w:lineRule="auto"/>
            </w:pPr>
            <w:r>
              <w:rPr>
                <w:b w:val="1"/>
                <w:bCs w:val="1"/>
                <w:outline w:val="0"/>
                <w:color w:val="666699"/>
                <w:u w:color="666699"/>
                <w:shd w:val="nil" w:color="auto" w:fill="auto"/>
                <w:rtl w:val="0"/>
                <w:lang w:val="en-US"/>
                <w14:textFill>
                  <w14:solidFill>
                    <w14:srgbClr w14:val="666699"/>
                  </w14:solidFill>
                </w14:textFill>
              </w:rPr>
              <w:t>Type of Disease/Illness</w:t>
            </w:r>
          </w:p>
        </w:tc>
        <w:tc>
          <w:tcPr>
            <w:tcW w:type="dxa" w:w="57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line="360" w:lineRule="auto"/>
            </w:pPr>
            <w:r>
              <w:rPr>
                <w:b w:val="1"/>
                <w:bCs w:val="1"/>
                <w:outline w:val="0"/>
                <w:color w:val="666699"/>
                <w:u w:color="666699"/>
                <w:shd w:val="nil" w:color="auto" w:fill="auto"/>
                <w:rtl w:val="0"/>
                <w:lang w:val="en-US"/>
                <w14:textFill>
                  <w14:solidFill>
                    <w14:srgbClr w14:val="666699"/>
                  </w14:solidFill>
                </w14:textFill>
              </w:rPr>
              <w:t>Minimal Exclusion Period</w:t>
            </w:r>
          </w:p>
        </w:tc>
      </w:tr>
      <w:tr>
        <w:tblPrEx>
          <w:shd w:val="clear" w:color="auto" w:fill="cdd4e9"/>
        </w:tblPrEx>
        <w:trPr>
          <w:trHeight w:val="481" w:hRule="atLeast"/>
        </w:trPr>
        <w:tc>
          <w:tcPr>
            <w:tcW w:type="dxa" w:w="3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Vomiting</w:t>
            </w:r>
          </w:p>
        </w:tc>
        <w:tc>
          <w:tcPr>
            <w:tcW w:type="dxa" w:w="57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Children must be off for 48 hours after the last vomiting episode.</w:t>
            </w:r>
          </w:p>
        </w:tc>
      </w:tr>
      <w:tr>
        <w:tblPrEx>
          <w:shd w:val="clear" w:color="auto" w:fill="cdd4e9"/>
        </w:tblPrEx>
        <w:trPr>
          <w:trHeight w:val="961" w:hRule="atLeast"/>
        </w:trPr>
        <w:tc>
          <w:tcPr>
            <w:tcW w:type="dxa" w:w="3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Antibiotics</w:t>
            </w:r>
          </w:p>
        </w:tc>
        <w:tc>
          <w:tcPr>
            <w:tcW w:type="dxa" w:w="57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Antibiotics prescribed by the doctor outside of any illness listed below require the child to be at home whilst displaying symptoms and have at least the first dose and ideally the second at home.</w:t>
            </w:r>
          </w:p>
        </w:tc>
      </w:tr>
      <w:tr>
        <w:tblPrEx>
          <w:shd w:val="clear" w:color="auto" w:fill="cdd4e9"/>
        </w:tblPrEx>
        <w:trPr>
          <w:trHeight w:val="721" w:hRule="atLeast"/>
        </w:trPr>
        <w:tc>
          <w:tcPr>
            <w:tcW w:type="dxa" w:w="3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Conjunctivitis</w:t>
            </w:r>
          </w:p>
        </w:tc>
        <w:tc>
          <w:tcPr>
            <w:tcW w:type="dxa" w:w="57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 xml:space="preserve">Two doses of antibiotic cream or drop OR if no treatment given </w:t>
            </w:r>
            <w:r>
              <w:rPr>
                <w:b w:val="1"/>
                <w:bCs w:val="1"/>
                <w:sz w:val="22"/>
                <w:szCs w:val="22"/>
                <w:shd w:val="nil" w:color="auto" w:fill="auto"/>
                <w:rtl w:val="0"/>
                <w:lang w:val="en-US"/>
              </w:rPr>
              <w:t>once the eyes have stopped continuously leaking fluid.</w:t>
            </w:r>
          </w:p>
        </w:tc>
      </w:tr>
      <w:tr>
        <w:tblPrEx>
          <w:shd w:val="clear" w:color="auto" w:fill="cdd4e9"/>
        </w:tblPrEx>
        <w:trPr>
          <w:trHeight w:val="3241" w:hRule="atLeast"/>
        </w:trPr>
        <w:tc>
          <w:tcPr>
            <w:tcW w:type="dxa" w:w="3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120"/>
            </w:pPr>
            <w:r>
              <w:rPr>
                <w:sz w:val="22"/>
                <w:szCs w:val="22"/>
                <w:shd w:val="nil" w:color="auto" w:fill="auto"/>
                <w:rtl w:val="0"/>
                <w:lang w:val="en-US"/>
              </w:rPr>
              <w:t>COVID 19</w:t>
            </w:r>
          </w:p>
        </w:tc>
        <w:tc>
          <w:tcPr>
            <w:tcW w:type="dxa" w:w="57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120"/>
              <w:rPr>
                <w:sz w:val="22"/>
                <w:szCs w:val="22"/>
                <w:shd w:val="nil" w:color="auto" w:fill="auto"/>
              </w:rPr>
            </w:pPr>
            <w:r>
              <w:rPr>
                <w:sz w:val="22"/>
                <w:szCs w:val="22"/>
                <w:shd w:val="nil" w:color="auto" w:fill="auto"/>
                <w:rtl w:val="0"/>
                <w:lang w:val="en-US"/>
              </w:rPr>
              <w:t xml:space="preserve">As of February 2022, the new legislation states that a child can attend if they are positive for Covid19. However, if the child is displaying symptoms included in this form, it will be treated with the same exemption periods. The Nursery reserves the right as with any illness to exclude a child should they feel that the child is not well enough to attend or that they are displaying symptoms of concern that do not have exclusion times such as not eating or drinking, unexpected lethargy or showing signs of distress. </w:t>
            </w:r>
          </w:p>
          <w:p>
            <w:pPr>
              <w:pStyle w:val="Body"/>
              <w:bidi w:val="0"/>
              <w:spacing w:after="120"/>
              <w:ind w:left="0" w:right="0" w:firstLine="0"/>
              <w:jc w:val="left"/>
              <w:rPr>
                <w:rtl w:val="0"/>
              </w:rPr>
            </w:pPr>
            <w:r>
              <w:rPr>
                <w:sz w:val="22"/>
                <w:szCs w:val="22"/>
                <w:shd w:val="nil" w:color="auto" w:fill="auto"/>
                <w:rtl w:val="0"/>
                <w:lang w:val="en-US"/>
              </w:rPr>
              <w:t>The child may need a staggered return to Nursery depending on their recovery and the prevalence of long term covid19 in children. This will be coordinated by the Nursery and parents dependant on the individual childs needs.</w:t>
            </w:r>
          </w:p>
        </w:tc>
      </w:tr>
      <w:tr>
        <w:tblPrEx>
          <w:shd w:val="clear" w:color="auto" w:fill="cdd4e9"/>
        </w:tblPrEx>
        <w:trPr>
          <w:trHeight w:val="721" w:hRule="atLeast"/>
        </w:trPr>
        <w:tc>
          <w:tcPr>
            <w:tcW w:type="dxa" w:w="3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Chickenpox</w:t>
            </w:r>
          </w:p>
        </w:tc>
        <w:tc>
          <w:tcPr>
            <w:tcW w:type="dxa" w:w="57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At least 5 days from appearance of spots or until ALL spots are scabbed over and the child is well enough to return to a Nursery environment.</w:t>
            </w:r>
          </w:p>
        </w:tc>
      </w:tr>
      <w:tr>
        <w:tblPrEx>
          <w:shd w:val="clear" w:color="auto" w:fill="cdd4e9"/>
        </w:tblPrEx>
        <w:trPr>
          <w:trHeight w:val="481" w:hRule="atLeast"/>
        </w:trPr>
        <w:tc>
          <w:tcPr>
            <w:tcW w:type="dxa" w:w="3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120"/>
            </w:pPr>
            <w:r>
              <w:rPr>
                <w:sz w:val="22"/>
                <w:szCs w:val="22"/>
                <w:shd w:val="nil" w:color="auto" w:fill="auto"/>
                <w:rtl w:val="0"/>
                <w:lang w:val="en-US"/>
              </w:rPr>
              <w:t>Croup</w:t>
            </w:r>
          </w:p>
        </w:tc>
        <w:tc>
          <w:tcPr>
            <w:tcW w:type="dxa" w:w="57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120"/>
            </w:pPr>
            <w:r>
              <w:rPr>
                <w:sz w:val="22"/>
                <w:szCs w:val="22"/>
                <w:shd w:val="nil" w:color="auto" w:fill="auto"/>
                <w:rtl w:val="0"/>
                <w:lang w:val="en-US"/>
              </w:rPr>
              <w:t xml:space="preserve">The child should not attend for 3 days after the symptoms have begun. </w:t>
            </w:r>
          </w:p>
        </w:tc>
      </w:tr>
      <w:tr>
        <w:tblPrEx>
          <w:shd w:val="clear" w:color="auto" w:fill="cdd4e9"/>
        </w:tblPrEx>
        <w:trPr>
          <w:trHeight w:val="241" w:hRule="atLeast"/>
        </w:trPr>
        <w:tc>
          <w:tcPr>
            <w:tcW w:type="dxa" w:w="3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Diarrhoea</w:t>
            </w:r>
          </w:p>
        </w:tc>
        <w:tc>
          <w:tcPr>
            <w:tcW w:type="dxa" w:w="57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The child should be off for 48 hours from the last episode</w:t>
            </w:r>
          </w:p>
        </w:tc>
      </w:tr>
      <w:tr>
        <w:tblPrEx>
          <w:shd w:val="clear" w:color="auto" w:fill="cdd4e9"/>
        </w:tblPrEx>
        <w:trPr>
          <w:trHeight w:val="721" w:hRule="atLeast"/>
        </w:trPr>
        <w:tc>
          <w:tcPr>
            <w:tcW w:type="dxa" w:w="3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120"/>
            </w:pPr>
            <w:r>
              <w:rPr>
                <w:sz w:val="22"/>
                <w:szCs w:val="22"/>
                <w:shd w:val="nil" w:color="auto" w:fill="auto"/>
                <w:rtl w:val="0"/>
                <w:lang w:val="en-US"/>
              </w:rPr>
              <w:t>Ear Infection</w:t>
            </w:r>
          </w:p>
        </w:tc>
        <w:tc>
          <w:tcPr>
            <w:tcW w:type="dxa" w:w="57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120"/>
            </w:pPr>
            <w:r>
              <w:rPr>
                <w:sz w:val="22"/>
                <w:szCs w:val="22"/>
                <w:shd w:val="nil" w:color="auto" w:fill="auto"/>
                <w:rtl w:val="0"/>
                <w:lang w:val="en-US"/>
              </w:rPr>
              <w:t>The child must stay at home for 24 hours for the antibiotics to work and their ear must no longer be leaking any fluid whatsoever.</w:t>
            </w:r>
          </w:p>
        </w:tc>
      </w:tr>
      <w:tr>
        <w:tblPrEx>
          <w:shd w:val="clear" w:color="auto" w:fill="cdd4e9"/>
        </w:tblPrEx>
        <w:trPr>
          <w:trHeight w:val="721" w:hRule="atLeast"/>
        </w:trPr>
        <w:tc>
          <w:tcPr>
            <w:tcW w:type="dxa" w:w="3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Gastro-enteritis, food poisoning, salmonellosis and dysentery</w:t>
            </w:r>
          </w:p>
        </w:tc>
        <w:tc>
          <w:tcPr>
            <w:tcW w:type="dxa" w:w="57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48 hours from the last episode or either vomiting or diarrhoea or for notifiable diseases, until advised by the relevant public health official</w:t>
            </w:r>
          </w:p>
        </w:tc>
      </w:tr>
      <w:tr>
        <w:tblPrEx>
          <w:shd w:val="clear" w:color="auto" w:fill="cdd4e9"/>
        </w:tblPrEx>
        <w:trPr>
          <w:trHeight w:val="481" w:hRule="atLeast"/>
        </w:trPr>
        <w:tc>
          <w:tcPr>
            <w:tcW w:type="dxa" w:w="3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German Measles (Rubella)</w:t>
            </w:r>
          </w:p>
        </w:tc>
        <w:tc>
          <w:tcPr>
            <w:tcW w:type="dxa" w:w="57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Six days from onset of rash and the child is judged well enough to return to a Nursery environment.</w:t>
            </w:r>
          </w:p>
        </w:tc>
      </w:tr>
      <w:tr>
        <w:tblPrEx>
          <w:shd w:val="clear" w:color="auto" w:fill="cdd4e9"/>
        </w:tblPrEx>
        <w:trPr>
          <w:trHeight w:val="241" w:hRule="atLeast"/>
        </w:trPr>
        <w:tc>
          <w:tcPr>
            <w:tcW w:type="dxa" w:w="3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Hepatitis A</w:t>
            </w:r>
          </w:p>
        </w:tc>
        <w:tc>
          <w:tcPr>
            <w:tcW w:type="dxa" w:w="57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7 days from onset of jaundice</w:t>
            </w:r>
          </w:p>
        </w:tc>
      </w:tr>
      <w:tr>
        <w:tblPrEx>
          <w:shd w:val="clear" w:color="auto" w:fill="cdd4e9"/>
        </w:tblPrEx>
        <w:trPr>
          <w:trHeight w:val="481" w:hRule="atLeast"/>
        </w:trPr>
        <w:tc>
          <w:tcPr>
            <w:tcW w:type="dxa" w:w="3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120"/>
            </w:pPr>
            <w:r>
              <w:rPr>
                <w:sz w:val="22"/>
                <w:szCs w:val="22"/>
                <w:shd w:val="nil" w:color="auto" w:fill="auto"/>
                <w:rtl w:val="0"/>
                <w:lang w:val="en-US"/>
              </w:rPr>
              <w:t>Hand, foot and mouth disease</w:t>
            </w:r>
          </w:p>
        </w:tc>
        <w:tc>
          <w:tcPr>
            <w:tcW w:type="dxa" w:w="57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120"/>
            </w:pPr>
            <w:r>
              <w:rPr>
                <w:sz w:val="22"/>
                <w:szCs w:val="22"/>
                <w:shd w:val="nil" w:color="auto" w:fill="auto"/>
                <w:rtl w:val="0"/>
                <w:lang w:val="en-US"/>
              </w:rPr>
              <w:t xml:space="preserve">The child must not return for 3 full days and must be well enough for nursery. </w:t>
            </w:r>
          </w:p>
        </w:tc>
      </w:tr>
      <w:tr>
        <w:tblPrEx>
          <w:shd w:val="clear" w:color="auto" w:fill="cdd4e9"/>
        </w:tblPrEx>
        <w:trPr>
          <w:trHeight w:val="721" w:hRule="atLeast"/>
        </w:trPr>
        <w:tc>
          <w:tcPr>
            <w:tcW w:type="dxa" w:w="3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sz w:val="22"/>
                <w:szCs w:val="22"/>
                <w:shd w:val="nil" w:color="auto" w:fill="auto"/>
                <w:rtl w:val="0"/>
                <w:lang w:val="en-US"/>
              </w:rPr>
              <w:t>Headlice</w:t>
            </w:r>
            <w:r>
              <w:rPr>
                <w:sz w:val="22"/>
                <w:szCs w:val="22"/>
                <w:shd w:val="nil" w:color="auto" w:fill="auto"/>
              </w:rPr>
            </w:r>
          </w:p>
        </w:tc>
        <w:tc>
          <w:tcPr>
            <w:tcW w:type="dxa" w:w="57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120"/>
            </w:pPr>
            <w:r>
              <w:rPr>
                <w:sz w:val="22"/>
                <w:szCs w:val="22"/>
                <w:shd w:val="nil" w:color="auto" w:fill="auto"/>
                <w:rtl w:val="0"/>
                <w:lang w:val="en-US"/>
              </w:rPr>
              <w:t xml:space="preserve">The child must have a treatment head wash and be nit combed before their return to nursery, where necessary the child must have their hair tied back. </w:t>
            </w:r>
          </w:p>
        </w:tc>
      </w:tr>
      <w:tr>
        <w:tblPrEx>
          <w:shd w:val="clear" w:color="auto" w:fill="cdd4e9"/>
        </w:tblPrEx>
        <w:trPr>
          <w:trHeight w:val="721" w:hRule="atLeast"/>
        </w:trPr>
        <w:tc>
          <w:tcPr>
            <w:tcW w:type="dxa" w:w="3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120"/>
            </w:pPr>
            <w:r>
              <w:rPr>
                <w:sz w:val="22"/>
                <w:szCs w:val="22"/>
                <w:shd w:val="nil" w:color="auto" w:fill="auto"/>
                <w:rtl w:val="0"/>
                <w:lang w:val="en-US"/>
              </w:rPr>
              <w:t>Herpes simplex virus</w:t>
            </w:r>
          </w:p>
        </w:tc>
        <w:tc>
          <w:tcPr>
            <w:tcW w:type="dxa" w:w="57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120"/>
            </w:pPr>
            <w:r>
              <w:rPr>
                <w:sz w:val="22"/>
                <w:szCs w:val="22"/>
                <w:shd w:val="nil" w:color="auto" w:fill="auto"/>
                <w:rtl w:val="0"/>
                <w:lang w:val="en-US"/>
              </w:rPr>
              <w:t>The child must be seen by a medical professional and the exclusion period will be decided by the medical professional depending on the severity of the condition.</w:t>
            </w:r>
          </w:p>
        </w:tc>
      </w:tr>
      <w:tr>
        <w:tblPrEx>
          <w:shd w:val="clear" w:color="auto" w:fill="cdd4e9"/>
        </w:tblPrEx>
        <w:trPr>
          <w:trHeight w:val="241" w:hRule="atLeast"/>
        </w:trPr>
        <w:tc>
          <w:tcPr>
            <w:tcW w:type="dxa" w:w="3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Measles</w:t>
            </w:r>
          </w:p>
        </w:tc>
        <w:tc>
          <w:tcPr>
            <w:tcW w:type="dxa" w:w="57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Child to be off for 7 days from appearance of the rash</w:t>
            </w:r>
          </w:p>
        </w:tc>
      </w:tr>
      <w:tr>
        <w:tblPrEx>
          <w:shd w:val="clear" w:color="auto" w:fill="cdd4e9"/>
        </w:tblPrEx>
        <w:trPr>
          <w:trHeight w:val="721" w:hRule="atLeast"/>
        </w:trPr>
        <w:tc>
          <w:tcPr>
            <w:tcW w:type="dxa" w:w="3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Meningococcal infection</w:t>
            </w:r>
          </w:p>
        </w:tc>
        <w:tc>
          <w:tcPr>
            <w:tcW w:type="dxa" w:w="57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Minimum of 2 weeks or until GP or Hospital feel the child has recovered from the illness and is well enough to return to a nursery environment.</w:t>
            </w:r>
          </w:p>
        </w:tc>
      </w:tr>
      <w:tr>
        <w:tblPrEx>
          <w:shd w:val="clear" w:color="auto" w:fill="cdd4e9"/>
        </w:tblPrEx>
        <w:trPr>
          <w:trHeight w:val="481" w:hRule="atLeast"/>
        </w:trPr>
        <w:tc>
          <w:tcPr>
            <w:tcW w:type="dxa" w:w="3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Mumps</w:t>
            </w:r>
          </w:p>
        </w:tc>
        <w:tc>
          <w:tcPr>
            <w:tcW w:type="dxa" w:w="57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 xml:space="preserve">The child to be off for 5 days from onset of illness and can return when the lumps have subsided </w:t>
            </w:r>
          </w:p>
        </w:tc>
      </w:tr>
      <w:tr>
        <w:tblPrEx>
          <w:shd w:val="clear" w:color="auto" w:fill="cdd4e9"/>
        </w:tblPrEx>
        <w:trPr>
          <w:trHeight w:val="481" w:hRule="atLeast"/>
        </w:trPr>
        <w:tc>
          <w:tcPr>
            <w:tcW w:type="dxa" w:w="3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Pertussis (whooping cough)</w:t>
            </w:r>
          </w:p>
        </w:tc>
        <w:tc>
          <w:tcPr>
            <w:tcW w:type="dxa" w:w="57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To be off 21 days from the onset of paroxysmal cough if no antibiotics, or 5 days if treated</w:t>
            </w:r>
          </w:p>
        </w:tc>
      </w:tr>
      <w:tr>
        <w:tblPrEx>
          <w:shd w:val="clear" w:color="auto" w:fill="cdd4e9"/>
        </w:tblPrEx>
        <w:trPr>
          <w:trHeight w:val="481" w:hRule="atLeast"/>
        </w:trPr>
        <w:tc>
          <w:tcPr>
            <w:tcW w:type="dxa" w:w="3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Poliomyelitis</w:t>
            </w:r>
          </w:p>
        </w:tc>
        <w:tc>
          <w:tcPr>
            <w:tcW w:type="dxa" w:w="57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Until declared free from infection by the appropriate public health official.</w:t>
            </w:r>
          </w:p>
        </w:tc>
      </w:tr>
      <w:tr>
        <w:tblPrEx>
          <w:shd w:val="clear" w:color="auto" w:fill="cdd4e9"/>
        </w:tblPrEx>
        <w:trPr>
          <w:trHeight w:val="481" w:hRule="atLeast"/>
        </w:trPr>
        <w:tc>
          <w:tcPr>
            <w:tcW w:type="dxa" w:w="3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Scarlet fever and streptococcal infection of the throat</w:t>
            </w:r>
          </w:p>
        </w:tc>
        <w:tc>
          <w:tcPr>
            <w:tcW w:type="dxa" w:w="57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Child to be off for 48 hours after commencing antibiotic treatment</w:t>
            </w:r>
          </w:p>
        </w:tc>
      </w:tr>
      <w:tr>
        <w:tblPrEx>
          <w:shd w:val="clear" w:color="auto" w:fill="cdd4e9"/>
        </w:tblPrEx>
        <w:trPr>
          <w:trHeight w:val="481" w:hRule="atLeast"/>
        </w:trPr>
        <w:tc>
          <w:tcPr>
            <w:tcW w:type="dxa" w:w="3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 xml:space="preserve">Temperature </w:t>
            </w:r>
          </w:p>
        </w:tc>
        <w:tc>
          <w:tcPr>
            <w:tcW w:type="dxa" w:w="57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Child to be off for 24 hours after the temperature has returned to normal.</w:t>
            </w:r>
          </w:p>
        </w:tc>
      </w:tr>
      <w:tr>
        <w:tblPrEx>
          <w:shd w:val="clear" w:color="auto" w:fill="cdd4e9"/>
        </w:tblPrEx>
        <w:trPr>
          <w:trHeight w:val="481" w:hRule="atLeast"/>
        </w:trPr>
        <w:tc>
          <w:tcPr>
            <w:tcW w:type="dxa" w:w="3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Tuberculosis</w:t>
            </w:r>
          </w:p>
        </w:tc>
        <w:tc>
          <w:tcPr>
            <w:tcW w:type="dxa" w:w="57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Until declared free from infection by the appropriate public health official</w:t>
            </w:r>
          </w:p>
        </w:tc>
      </w:tr>
      <w:tr>
        <w:tblPrEx>
          <w:shd w:val="clear" w:color="auto" w:fill="cdd4e9"/>
        </w:tblPrEx>
        <w:trPr>
          <w:trHeight w:val="481" w:hRule="atLeast"/>
        </w:trPr>
        <w:tc>
          <w:tcPr>
            <w:tcW w:type="dxa" w:w="3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Typhoid fever</w:t>
            </w:r>
          </w:p>
        </w:tc>
        <w:tc>
          <w:tcPr>
            <w:tcW w:type="dxa" w:w="57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Until declared free from infection by the appropriate public health official</w:t>
            </w:r>
          </w:p>
        </w:tc>
      </w:tr>
      <w:tr>
        <w:tblPrEx>
          <w:shd w:val="clear" w:color="auto" w:fill="cdd4e9"/>
        </w:tblPrEx>
        <w:trPr>
          <w:trHeight w:val="721" w:hRule="atLeast"/>
        </w:trPr>
        <w:tc>
          <w:tcPr>
            <w:tcW w:type="dxa" w:w="3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Impetigo</w:t>
            </w:r>
          </w:p>
        </w:tc>
        <w:tc>
          <w:tcPr>
            <w:tcW w:type="dxa" w:w="57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Until lesions are crusted and healed, or 48 hours after commencing antibiotic treatment. No patches should be leaking fluids.</w:t>
            </w:r>
          </w:p>
        </w:tc>
      </w:tr>
      <w:tr>
        <w:tblPrEx>
          <w:shd w:val="clear" w:color="auto" w:fill="cdd4e9"/>
        </w:tblPrEx>
        <w:trPr>
          <w:trHeight w:val="241" w:hRule="atLeast"/>
        </w:trPr>
        <w:tc>
          <w:tcPr>
            <w:tcW w:type="dxa" w:w="3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Plantar warts</w:t>
            </w:r>
          </w:p>
        </w:tc>
        <w:tc>
          <w:tcPr>
            <w:tcW w:type="dxa" w:w="57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No exclusion.  Should be treated and kept covered</w:t>
            </w:r>
          </w:p>
        </w:tc>
      </w:tr>
      <w:tr>
        <w:tblPrEx>
          <w:shd w:val="clear" w:color="auto" w:fill="cdd4e9"/>
        </w:tblPrEx>
        <w:trPr>
          <w:trHeight w:val="300" w:hRule="atLeast"/>
        </w:trPr>
        <w:tc>
          <w:tcPr>
            <w:tcW w:type="dxa" w:w="3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Ringworm of scalp</w:t>
            </w:r>
          </w:p>
        </w:tc>
        <w:tc>
          <w:tcPr>
            <w:tcW w:type="dxa" w:w="57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pPr>
            <w:r>
              <w:rPr>
                <w:shd w:val="nil" w:color="auto" w:fill="auto"/>
                <w:rtl w:val="0"/>
                <w:lang w:val="en-US"/>
              </w:rPr>
              <w:t>Child to be off until they are cured</w:t>
            </w:r>
          </w:p>
        </w:tc>
      </w:tr>
      <w:tr>
        <w:tblPrEx>
          <w:shd w:val="clear" w:color="auto" w:fill="cdd4e9"/>
        </w:tblPrEx>
        <w:trPr>
          <w:trHeight w:val="481" w:hRule="atLeast"/>
        </w:trPr>
        <w:tc>
          <w:tcPr>
            <w:tcW w:type="dxa" w:w="3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Ringworm of body</w:t>
            </w:r>
          </w:p>
        </w:tc>
        <w:tc>
          <w:tcPr>
            <w:tcW w:type="dxa" w:w="57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Not necessary to exclude provided treatment is being given by the GP</w:t>
            </w:r>
          </w:p>
        </w:tc>
      </w:tr>
      <w:tr>
        <w:tblPrEx>
          <w:shd w:val="clear" w:color="auto" w:fill="cdd4e9"/>
        </w:tblPrEx>
        <w:trPr>
          <w:trHeight w:val="481" w:hRule="atLeast"/>
        </w:trPr>
        <w:tc>
          <w:tcPr>
            <w:tcW w:type="dxa" w:w="3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Scabies</w:t>
            </w:r>
          </w:p>
        </w:tc>
        <w:tc>
          <w:tcPr>
            <w:tcW w:type="dxa" w:w="57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120"/>
            </w:pPr>
            <w:r>
              <w:rPr>
                <w:sz w:val="22"/>
                <w:szCs w:val="22"/>
                <w:shd w:val="nil" w:color="auto" w:fill="auto"/>
                <w:rtl w:val="0"/>
                <w:lang w:val="en-US"/>
              </w:rPr>
              <w:t>Return after 3 full days of treatment and being cleared by the GP</w:t>
            </w:r>
          </w:p>
        </w:tc>
      </w:tr>
      <w:tr>
        <w:tblPrEx>
          <w:shd w:val="clear" w:color="auto" w:fill="cdd4e9"/>
        </w:tblPrEx>
        <w:trPr>
          <w:trHeight w:val="1782" w:hRule="atLeast"/>
        </w:trPr>
        <w:tc>
          <w:tcPr>
            <w:tcW w:type="dxa" w:w="972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rPr>
                <w:b w:val="1"/>
                <w:bCs w:val="1"/>
                <w:sz w:val="20"/>
                <w:szCs w:val="20"/>
                <w:shd w:val="nil" w:color="auto" w:fill="auto"/>
                <w:lang w:val="en-US"/>
              </w:rPr>
            </w:pPr>
          </w:p>
          <w:p>
            <w:pPr>
              <w:pStyle w:val="Body"/>
              <w:bidi w:val="0"/>
              <w:ind w:left="0" w:right="0" w:firstLine="0"/>
              <w:jc w:val="center"/>
              <w:rPr>
                <w:b w:val="1"/>
                <w:bCs w:val="1"/>
                <w:sz w:val="20"/>
                <w:szCs w:val="20"/>
                <w:shd w:val="nil" w:color="auto" w:fill="auto"/>
                <w:rtl w:val="0"/>
              </w:rPr>
            </w:pPr>
            <w:r>
              <w:rPr>
                <w:b w:val="1"/>
                <w:bCs w:val="1"/>
                <w:sz w:val="20"/>
                <w:szCs w:val="20"/>
                <w:shd w:val="nil" w:color="auto" w:fill="auto"/>
                <w:rtl w:val="0"/>
                <w:lang w:val="en-US"/>
              </w:rPr>
              <w:t>Coughs and colds do not normally require exclusion unless they are severe, or the child is distressed.</w:t>
            </w:r>
          </w:p>
          <w:p>
            <w:pPr>
              <w:pStyle w:val="Body"/>
              <w:rPr>
                <w:b w:val="1"/>
                <w:bCs w:val="1"/>
                <w:sz w:val="20"/>
                <w:szCs w:val="20"/>
                <w:shd w:val="nil" w:color="auto" w:fill="auto"/>
                <w:lang w:val="en-US"/>
              </w:rPr>
            </w:pPr>
          </w:p>
          <w:p>
            <w:pPr>
              <w:pStyle w:val="Body"/>
              <w:bidi w:val="0"/>
              <w:spacing w:after="120"/>
              <w:ind w:left="0" w:right="0" w:firstLine="0"/>
              <w:jc w:val="center"/>
              <w:rPr>
                <w:b w:val="1"/>
                <w:bCs w:val="1"/>
                <w:sz w:val="20"/>
                <w:szCs w:val="20"/>
                <w:shd w:val="nil" w:color="auto" w:fill="auto"/>
                <w:rtl w:val="0"/>
              </w:rPr>
            </w:pPr>
            <w:r>
              <w:rPr>
                <w:b w:val="1"/>
                <w:bCs w:val="1"/>
                <w:sz w:val="20"/>
                <w:szCs w:val="20"/>
                <w:shd w:val="nil" w:color="auto" w:fill="auto"/>
                <w:rtl w:val="0"/>
                <w:lang w:val="en-US"/>
              </w:rPr>
              <w:t>Please seek medical advice if you are unsure or concerned.</w:t>
            </w:r>
          </w:p>
          <w:p>
            <w:pPr>
              <w:pStyle w:val="Body"/>
              <w:spacing w:after="120"/>
              <w:jc w:val="center"/>
              <w:rPr>
                <w:b w:val="1"/>
                <w:bCs w:val="1"/>
                <w:sz w:val="20"/>
                <w:szCs w:val="20"/>
                <w:shd w:val="nil" w:color="auto" w:fill="auto"/>
                <w:lang w:val="en-US"/>
              </w:rPr>
            </w:pPr>
          </w:p>
          <w:p>
            <w:pPr>
              <w:pStyle w:val="Body"/>
              <w:bidi w:val="0"/>
              <w:spacing w:after="120"/>
              <w:ind w:left="0" w:right="0" w:firstLine="0"/>
              <w:jc w:val="center"/>
              <w:rPr>
                <w:rtl w:val="0"/>
              </w:rPr>
            </w:pPr>
            <w:r>
              <w:rPr>
                <w:b w:val="1"/>
                <w:bCs w:val="1"/>
                <w:sz w:val="20"/>
                <w:szCs w:val="20"/>
                <w:shd w:val="nil" w:color="auto" w:fill="auto"/>
                <w:rtl w:val="0"/>
                <w:lang w:val="en-US"/>
              </w:rPr>
              <w:t xml:space="preserve">As always staff will use their judgement if it is felt the above information for antibiotic exclusion could be changed due to the natural of the illness/condition. </w:t>
            </w:r>
          </w:p>
        </w:tc>
      </w:tr>
    </w:tbl>
    <w:p>
      <w:pPr>
        <w:pStyle w:val="Body"/>
        <w:widowControl w:val="0"/>
        <w:rPr>
          <w:b w:val="1"/>
          <w:bCs w:val="1"/>
          <w:outline w:val="0"/>
          <w:color w:val="cc0099"/>
          <w:u w:color="cc0099"/>
          <w14:textFill>
            <w14:solidFill>
              <w14:srgbClr w14:val="CC0099"/>
            </w14:solidFill>
          </w14:textFill>
        </w:rPr>
      </w:pPr>
    </w:p>
    <w:p>
      <w:pPr>
        <w:pStyle w:val="Body"/>
      </w:pPr>
    </w:p>
    <w:p>
      <w:pPr>
        <w:pStyle w:val="Body"/>
      </w:pPr>
    </w:p>
    <w:p>
      <w:pPr>
        <w:pStyle w:val="Body"/>
      </w:pPr>
    </w:p>
    <w:p>
      <w:pPr>
        <w:pStyle w:val="Body"/>
      </w:pPr>
      <w:r/>
    </w:p>
    <w:sectPr>
      <w:headerReference w:type="default" r:id="rId4"/>
      <w:footerReference w:type="default" r:id="rId5"/>
      <w:pgSz w:w="11900" w:h="16840" w:orient="portrait"/>
      <w:pgMar w:top="1440" w:right="1800" w:bottom="1440" w:left="180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Verdana">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25" name="officeArt object" descr="Rectangle"/>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blipFill rotWithShape="1">
                        <a:blip r:embed="rId1"/>
                        <a:srcRect l="0" t="0" r="0" b="0"/>
                        <a:stretch>
                          <a:fillRect/>
                        </a:stretch>
                      </a:blipFill>
                      <a:ln w="12700" cap="flat">
                        <a:noFill/>
                        <a:miter lim="400000"/>
                      </a:ln>
                      <a:effectLst/>
                    </wps:spPr>
                    <wps:bodyPr/>
                  </wps:wsp>
                </a:graphicData>
              </a:graphic>
            </wp:anchor>
          </w:drawing>
        </mc:Choice>
        <mc:Fallback>
          <w:pict>
            <v:roundrect id="_x0000_s1026"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r:id="rId1" o:title="copyright.jpg" rotate="t" type="frame"/>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pt-PT"/>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